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CC" w:rsidRPr="00E56A17" w:rsidRDefault="005D38CC">
      <w:pPr>
        <w:ind w:firstLine="720"/>
        <w:jc w:val="center"/>
        <w:rPr>
          <w:sz w:val="26"/>
          <w:szCs w:val="26"/>
        </w:rPr>
      </w:pPr>
      <w:bookmarkStart w:id="0" w:name="_GoBack"/>
      <w:bookmarkEnd w:id="0"/>
    </w:p>
    <w:p w:rsidR="00E93E65" w:rsidRPr="001C326E" w:rsidRDefault="00393986" w:rsidP="00E93E65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="001C326E" w:rsidRPr="001C326E">
        <w:rPr>
          <w:b/>
          <w:bCs/>
          <w:sz w:val="26"/>
          <w:szCs w:val="26"/>
        </w:rPr>
        <w:t>ОПРЕДЕЛЕНИЕ СОВОКУПНОГО ДОХОДА СЕМЬИ</w:t>
      </w:r>
    </w:p>
    <w:p w:rsidR="001C326E" w:rsidRDefault="001C326E" w:rsidP="00E93E65">
      <w:pPr>
        <w:ind w:firstLine="708"/>
        <w:jc w:val="both"/>
        <w:rPr>
          <w:b/>
          <w:bCs/>
          <w:sz w:val="26"/>
          <w:szCs w:val="26"/>
        </w:rPr>
      </w:pPr>
    </w:p>
    <w:p w:rsidR="00A22DE5" w:rsidRPr="00E56A17" w:rsidRDefault="00E93E65" w:rsidP="00E93E65">
      <w:pPr>
        <w:ind w:firstLine="708"/>
        <w:jc w:val="both"/>
        <w:rPr>
          <w:sz w:val="26"/>
          <w:szCs w:val="26"/>
        </w:rPr>
      </w:pPr>
      <w:r w:rsidRPr="0032266C">
        <w:rPr>
          <w:sz w:val="26"/>
          <w:szCs w:val="26"/>
          <w:u w:val="single"/>
        </w:rPr>
        <w:t>Доход семьи</w:t>
      </w:r>
      <w:r w:rsidRPr="00E56A17">
        <w:rPr>
          <w:sz w:val="26"/>
          <w:szCs w:val="26"/>
        </w:rPr>
        <w:t xml:space="preserve"> </w:t>
      </w:r>
      <w:r w:rsidRPr="00E56A17">
        <w:rPr>
          <w:snapToGrid w:val="0"/>
          <w:sz w:val="26"/>
          <w:szCs w:val="26"/>
        </w:rPr>
        <w:t>для</w:t>
      </w:r>
      <w:r w:rsidRPr="00E56A17">
        <w:rPr>
          <w:sz w:val="26"/>
          <w:szCs w:val="26"/>
        </w:rPr>
        <w:t xml:space="preserve"> </w:t>
      </w:r>
      <w:r w:rsidRPr="00E56A17">
        <w:rPr>
          <w:snapToGrid w:val="0"/>
          <w:sz w:val="26"/>
          <w:szCs w:val="26"/>
        </w:rPr>
        <w:t>исчисления</w:t>
      </w:r>
      <w:r w:rsidRPr="00E56A17">
        <w:rPr>
          <w:sz w:val="26"/>
          <w:szCs w:val="26"/>
        </w:rPr>
        <w:t xml:space="preserve"> величины совокупного дохода семьи (гражданина) </w:t>
      </w:r>
      <w:r w:rsidR="00A22DE5" w:rsidRPr="00A22DE5">
        <w:rPr>
          <w:sz w:val="26"/>
          <w:szCs w:val="26"/>
        </w:rPr>
        <w:t>для предоставления жилищной субсидии определяется за 6 календарных месяцев</w:t>
      </w:r>
      <w:r w:rsidR="007D7E5A" w:rsidRPr="00481489">
        <w:rPr>
          <w:color w:val="22272F"/>
          <w:sz w:val="26"/>
          <w:szCs w:val="26"/>
          <w:shd w:val="clear" w:color="auto" w:fill="FFFFFF"/>
        </w:rPr>
        <w:t>, предшествовавших месяцу перед месяцем подачи зая</w:t>
      </w:r>
      <w:r w:rsidR="007D7E5A">
        <w:rPr>
          <w:color w:val="22272F"/>
          <w:sz w:val="26"/>
          <w:szCs w:val="26"/>
          <w:shd w:val="clear" w:color="auto" w:fill="FFFFFF"/>
        </w:rPr>
        <w:t xml:space="preserve">вления о предоставлении </w:t>
      </w:r>
      <w:r w:rsidR="007D7E5A" w:rsidRPr="00481489">
        <w:rPr>
          <w:color w:val="000000"/>
          <w:sz w:val="26"/>
          <w:szCs w:val="26"/>
        </w:rPr>
        <w:t>жилищной субсидии</w:t>
      </w:r>
      <w:r w:rsidR="00A22DE5" w:rsidRPr="00A22DE5">
        <w:rPr>
          <w:sz w:val="26"/>
          <w:szCs w:val="26"/>
        </w:rPr>
        <w:t>.</w:t>
      </w:r>
    </w:p>
    <w:p w:rsidR="00E3488A" w:rsidRDefault="00E93E65" w:rsidP="00E93E65">
      <w:pPr>
        <w:jc w:val="both"/>
        <w:rPr>
          <w:sz w:val="26"/>
          <w:szCs w:val="26"/>
        </w:rPr>
      </w:pPr>
      <w:r w:rsidRPr="00E56A17">
        <w:rPr>
          <w:sz w:val="26"/>
          <w:szCs w:val="26"/>
        </w:rPr>
        <w:tab/>
        <w:t xml:space="preserve">При исчислении совокупного дохода семьи получателя субсидии независимо от раздельного или совместного проживания учитываются доходы граждан, являющихся по отношению к получателю субсидии или членам его </w:t>
      </w:r>
      <w:r w:rsidR="00CE37A1" w:rsidRPr="00E56A17">
        <w:rPr>
          <w:sz w:val="26"/>
          <w:szCs w:val="26"/>
        </w:rPr>
        <w:t>семьи: супругом</w:t>
      </w:r>
      <w:r w:rsidRPr="00E56A17">
        <w:rPr>
          <w:sz w:val="26"/>
          <w:szCs w:val="26"/>
        </w:rPr>
        <w:t xml:space="preserve"> (супругой); родителями (усыновителями) несовершеннолетних детей; несовершеннолетними детьми, в т. ч.  усыновленными.</w:t>
      </w:r>
      <w:r w:rsidRPr="00E56A17">
        <w:rPr>
          <w:sz w:val="26"/>
          <w:szCs w:val="26"/>
        </w:rPr>
        <w:tab/>
      </w:r>
    </w:p>
    <w:p w:rsidR="00E93E65" w:rsidRPr="00E56A17" w:rsidRDefault="00E93E65" w:rsidP="00E3488A">
      <w:pPr>
        <w:ind w:firstLine="360"/>
        <w:jc w:val="both"/>
        <w:rPr>
          <w:sz w:val="26"/>
          <w:szCs w:val="26"/>
        </w:rPr>
      </w:pPr>
      <w:r w:rsidRPr="0032266C">
        <w:rPr>
          <w:sz w:val="26"/>
          <w:szCs w:val="26"/>
          <w:u w:val="single"/>
        </w:rPr>
        <w:t xml:space="preserve">При исчислении совокупного дохода </w:t>
      </w:r>
      <w:r w:rsidR="00CE37A1" w:rsidRPr="0032266C">
        <w:rPr>
          <w:sz w:val="26"/>
          <w:szCs w:val="26"/>
          <w:u w:val="single"/>
        </w:rPr>
        <w:t>учитываются</w:t>
      </w:r>
      <w:r w:rsidR="00CE37A1" w:rsidRPr="00E56A17">
        <w:rPr>
          <w:sz w:val="26"/>
          <w:szCs w:val="26"/>
        </w:rPr>
        <w:t xml:space="preserve"> (</w:t>
      </w:r>
      <w:r w:rsidRPr="00E56A17">
        <w:rPr>
          <w:sz w:val="26"/>
          <w:szCs w:val="26"/>
        </w:rPr>
        <w:t>краткое изложение):</w:t>
      </w:r>
    </w:p>
    <w:p w:rsidR="00061B8D" w:rsidRDefault="00177600" w:rsidP="00061B8D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вознаграждение за выполнение трудовых или иных обязанностей</w:t>
      </w:r>
      <w:r w:rsidR="00E93E65" w:rsidRPr="00E56A17">
        <w:rPr>
          <w:rFonts w:ascii="Times New Roman" w:hAnsi="Times New Roman" w:cs="Times New Roman"/>
          <w:sz w:val="26"/>
          <w:szCs w:val="26"/>
        </w:rPr>
        <w:t>;</w:t>
      </w:r>
    </w:p>
    <w:p w:rsidR="00702337" w:rsidRDefault="00061B8D" w:rsidP="00702337">
      <w:pPr>
        <w:pStyle w:val="ConsPlusNormal"/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61B8D">
        <w:rPr>
          <w:rFonts w:ascii="Times New Roman" w:hAnsi="Times New Roman" w:cs="Times New Roman"/>
          <w:sz w:val="26"/>
          <w:szCs w:val="26"/>
        </w:rPr>
        <w:t xml:space="preserve">енсии, пособия и иные аналогичные </w:t>
      </w:r>
      <w:r w:rsidR="00702337">
        <w:rPr>
          <w:rFonts w:ascii="Times New Roman" w:hAnsi="Times New Roman" w:cs="Times New Roman"/>
          <w:sz w:val="26"/>
          <w:szCs w:val="26"/>
        </w:rPr>
        <w:t xml:space="preserve">выплаты, в том числе выплаты по </w:t>
      </w:r>
      <w:r w:rsidRPr="00061B8D">
        <w:rPr>
          <w:rFonts w:ascii="Times New Roman" w:hAnsi="Times New Roman" w:cs="Times New Roman"/>
          <w:sz w:val="26"/>
          <w:szCs w:val="26"/>
        </w:rPr>
        <w:t>обязательному социальному страхованию и выплаты компенсационного характера</w:t>
      </w:r>
    </w:p>
    <w:p w:rsidR="003D0C68" w:rsidRDefault="00702337" w:rsidP="003D0C68">
      <w:pPr>
        <w:pStyle w:val="ConsPlusNormal"/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061B8D" w:rsidRPr="00702337">
        <w:rPr>
          <w:rFonts w:ascii="Times New Roman" w:hAnsi="Times New Roman" w:cs="Times New Roman"/>
          <w:sz w:val="26"/>
          <w:szCs w:val="26"/>
        </w:rPr>
        <w:t>типендии и иные денежные выплаты, выплачиваемые лицам, обучающимся в профессиональных образовательных организациях и образовательных организациях</w:t>
      </w:r>
      <w:r w:rsidR="00B41E4F">
        <w:rPr>
          <w:rFonts w:ascii="Times New Roman" w:hAnsi="Times New Roman" w:cs="Times New Roman"/>
          <w:sz w:val="26"/>
          <w:szCs w:val="26"/>
        </w:rPr>
        <w:t>;</w:t>
      </w:r>
    </w:p>
    <w:p w:rsidR="00061B8D" w:rsidRDefault="00EA1E8C" w:rsidP="003D0C68">
      <w:pPr>
        <w:pStyle w:val="ConsPlusNormal"/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061B8D" w:rsidRPr="003D0C68">
        <w:rPr>
          <w:rFonts w:ascii="Times New Roman" w:hAnsi="Times New Roman" w:cs="Times New Roman"/>
          <w:sz w:val="26"/>
          <w:szCs w:val="26"/>
        </w:rPr>
        <w:t>умма полученных алиментов</w:t>
      </w:r>
      <w:r w:rsidR="00CB2308">
        <w:rPr>
          <w:rFonts w:ascii="Times New Roman" w:hAnsi="Times New Roman" w:cs="Times New Roman"/>
          <w:sz w:val="26"/>
          <w:szCs w:val="26"/>
        </w:rPr>
        <w:t>;</w:t>
      </w:r>
    </w:p>
    <w:p w:rsidR="00CB2308" w:rsidRDefault="00CB2308" w:rsidP="00CB2308">
      <w:pPr>
        <w:pStyle w:val="ConsPlusNormal"/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96744">
        <w:rPr>
          <w:rFonts w:ascii="Times New Roman" w:hAnsi="Times New Roman" w:cs="Times New Roman"/>
          <w:sz w:val="26"/>
          <w:szCs w:val="26"/>
        </w:rPr>
        <w:t>д</w:t>
      </w:r>
      <w:r w:rsidR="00061B8D" w:rsidRPr="00F96744">
        <w:rPr>
          <w:rFonts w:ascii="Times New Roman" w:hAnsi="Times New Roman" w:cs="Times New Roman"/>
          <w:sz w:val="26"/>
          <w:szCs w:val="26"/>
        </w:rPr>
        <w:t>ивиденды, проценты и иные доходы, полученные по операциям с ценными</w:t>
      </w:r>
      <w:r w:rsidR="00061B8D" w:rsidRPr="00CB2308">
        <w:rPr>
          <w:rFonts w:ascii="Times New Roman" w:hAnsi="Times New Roman" w:cs="Times New Roman"/>
          <w:sz w:val="26"/>
          <w:szCs w:val="26"/>
        </w:rPr>
        <w:t xml:space="preserve"> бумагами и операциям с производными финансовыми инструментами, а также в связи с участием в управлении собственностью организации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B2308" w:rsidRDefault="00CB2308" w:rsidP="00CB2308">
      <w:pPr>
        <w:pStyle w:val="ConsPlusNormal"/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061B8D" w:rsidRPr="00CB2308">
        <w:rPr>
          <w:rFonts w:ascii="Times New Roman" w:hAnsi="Times New Roman" w:cs="Times New Roman"/>
          <w:sz w:val="26"/>
          <w:szCs w:val="26"/>
        </w:rPr>
        <w:t>оходы в виде процентов по вкладам (остаткам на счетах) в банках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B2308" w:rsidRDefault="00CB2308" w:rsidP="00061B8D">
      <w:pPr>
        <w:pStyle w:val="ConsPlusNormal"/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B2308">
        <w:rPr>
          <w:rFonts w:ascii="Times New Roman" w:hAnsi="Times New Roman" w:cs="Times New Roman"/>
          <w:sz w:val="26"/>
          <w:szCs w:val="26"/>
        </w:rPr>
        <w:t>д</w:t>
      </w:r>
      <w:r w:rsidR="00061B8D" w:rsidRPr="00CB2308">
        <w:rPr>
          <w:rFonts w:ascii="Times New Roman" w:hAnsi="Times New Roman" w:cs="Times New Roman"/>
          <w:sz w:val="26"/>
          <w:szCs w:val="26"/>
        </w:rPr>
        <w:t>оходы от осуществления предпринимательской деятельности</w:t>
      </w:r>
      <w:r w:rsidRPr="00CB2308">
        <w:rPr>
          <w:rFonts w:ascii="Times New Roman" w:hAnsi="Times New Roman" w:cs="Times New Roman"/>
          <w:sz w:val="26"/>
          <w:szCs w:val="26"/>
        </w:rPr>
        <w:t>;</w:t>
      </w:r>
    </w:p>
    <w:p w:rsidR="00CB2308" w:rsidRDefault="00F96744" w:rsidP="00F96744">
      <w:pPr>
        <w:pStyle w:val="ConsPlusNormal"/>
        <w:numPr>
          <w:ilvl w:val="0"/>
          <w:numId w:val="12"/>
        </w:numPr>
        <w:tabs>
          <w:tab w:val="clear" w:pos="720"/>
          <w:tab w:val="num" w:pos="0"/>
        </w:tabs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F96744">
        <w:rPr>
          <w:rFonts w:ascii="Times New Roman" w:hAnsi="Times New Roman" w:cs="Times New Roman"/>
          <w:sz w:val="26"/>
          <w:szCs w:val="26"/>
        </w:rPr>
        <w:t xml:space="preserve">налогооблагаемые </w:t>
      </w:r>
      <w:r w:rsidR="00CB2308" w:rsidRPr="00CB2308">
        <w:rPr>
          <w:rFonts w:ascii="Times New Roman" w:hAnsi="Times New Roman" w:cs="Times New Roman"/>
          <w:sz w:val="26"/>
          <w:szCs w:val="26"/>
        </w:rPr>
        <w:t>д</w:t>
      </w:r>
      <w:r w:rsidR="00061B8D" w:rsidRPr="00CB2308">
        <w:rPr>
          <w:rFonts w:ascii="Times New Roman" w:hAnsi="Times New Roman" w:cs="Times New Roman"/>
          <w:sz w:val="26"/>
          <w:szCs w:val="26"/>
        </w:rPr>
        <w:t>оходы от реализации и сдачи в аренду (наем, поднаем) имущества</w:t>
      </w:r>
      <w:r w:rsidR="00CB2308" w:rsidRPr="00CB2308">
        <w:rPr>
          <w:rFonts w:ascii="Times New Roman" w:hAnsi="Times New Roman" w:cs="Times New Roman"/>
          <w:sz w:val="26"/>
          <w:szCs w:val="26"/>
        </w:rPr>
        <w:t>;</w:t>
      </w:r>
    </w:p>
    <w:p w:rsidR="00CB2308" w:rsidRDefault="00CB2308" w:rsidP="00061B8D">
      <w:pPr>
        <w:pStyle w:val="ConsPlusNormal"/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B2308">
        <w:rPr>
          <w:rFonts w:ascii="Times New Roman" w:hAnsi="Times New Roman" w:cs="Times New Roman"/>
          <w:sz w:val="26"/>
          <w:szCs w:val="26"/>
        </w:rPr>
        <w:t>д</w:t>
      </w:r>
      <w:r w:rsidR="00061B8D" w:rsidRPr="00CB2308">
        <w:rPr>
          <w:rFonts w:ascii="Times New Roman" w:hAnsi="Times New Roman" w:cs="Times New Roman"/>
          <w:sz w:val="26"/>
          <w:szCs w:val="26"/>
        </w:rPr>
        <w:t>оходы, полученные в рамках применения специального налогового режима "Налог на профессиональный доход"</w:t>
      </w:r>
      <w:r w:rsidRPr="00CB2308">
        <w:rPr>
          <w:rFonts w:ascii="Times New Roman" w:hAnsi="Times New Roman" w:cs="Times New Roman"/>
          <w:sz w:val="26"/>
          <w:szCs w:val="26"/>
        </w:rPr>
        <w:t>;</w:t>
      </w:r>
    </w:p>
    <w:p w:rsidR="00061B8D" w:rsidRDefault="00CB2308" w:rsidP="00061B8D">
      <w:pPr>
        <w:pStyle w:val="ConsPlusNormal"/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="00061B8D" w:rsidRPr="00CB2308">
        <w:rPr>
          <w:rFonts w:ascii="Times New Roman" w:hAnsi="Times New Roman" w:cs="Times New Roman"/>
          <w:sz w:val="26"/>
          <w:szCs w:val="26"/>
        </w:rPr>
        <w:t>оход, полученный заявителем или членами его семьи за пределами Российской Федерации.</w:t>
      </w:r>
    </w:p>
    <w:p w:rsidR="00F96744" w:rsidRPr="00F96744" w:rsidRDefault="00F96744" w:rsidP="00D57AB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6744">
        <w:rPr>
          <w:rFonts w:ascii="Times New Roman" w:hAnsi="Times New Roman" w:cs="Times New Roman"/>
          <w:sz w:val="26"/>
          <w:szCs w:val="26"/>
        </w:rPr>
        <w:t>Доходы каждого члена семьи учитываются до вычета налогов в соответствии с законодательством Российской Федерации.</w:t>
      </w:r>
    </w:p>
    <w:p w:rsidR="00F96744" w:rsidRDefault="00F96744" w:rsidP="00F96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96744">
        <w:rPr>
          <w:rFonts w:ascii="Times New Roman" w:hAnsi="Times New Roman" w:cs="Times New Roman"/>
          <w:sz w:val="26"/>
          <w:szCs w:val="26"/>
        </w:rPr>
        <w:t>Доходы семьи, получаемые в иностранной валюте, пересчитываются в рубли по курсу Центрального банка Российской Федерации, установленному на последнее число 6-го месяца расчетного периода.</w:t>
      </w:r>
    </w:p>
    <w:p w:rsidR="00F96744" w:rsidRPr="00F96744" w:rsidRDefault="00F96744" w:rsidP="00F96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96744">
        <w:rPr>
          <w:rFonts w:ascii="Times New Roman" w:hAnsi="Times New Roman" w:cs="Times New Roman"/>
          <w:sz w:val="26"/>
          <w:szCs w:val="26"/>
        </w:rPr>
        <w:t>Доходы учитываются в доходах семьи или одиноко проживающего гражданина в месяце их фактического получения, который приходится на расчетный период. При иных установленных сроках расчета и выплаты доходов сумма полученных доходов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F96744" w:rsidRPr="00F96744" w:rsidRDefault="00F96744" w:rsidP="00F96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6744">
        <w:rPr>
          <w:rFonts w:ascii="Times New Roman" w:hAnsi="Times New Roman" w:cs="Times New Roman"/>
          <w:sz w:val="26"/>
          <w:szCs w:val="26"/>
        </w:rPr>
        <w:t>Доходы, полученные в виде дивидендов, процентов и иных доходов, полученных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организации, доходы, полученные в виде процентов, начисленных на остаток средств на вкладах (счетах), открытых в кредитных организациях, доходы от осуществления предпринимательской деятельности,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6744">
        <w:rPr>
          <w:rFonts w:ascii="Times New Roman" w:hAnsi="Times New Roman" w:cs="Times New Roman"/>
          <w:sz w:val="26"/>
          <w:szCs w:val="26"/>
        </w:rPr>
        <w:t>доходы от реализации и сдачи в аренду (наем</w:t>
      </w:r>
      <w:proofErr w:type="gramEnd"/>
      <w:r w:rsidRPr="00F96744">
        <w:rPr>
          <w:rFonts w:ascii="Times New Roman" w:hAnsi="Times New Roman" w:cs="Times New Roman"/>
          <w:sz w:val="26"/>
          <w:szCs w:val="26"/>
        </w:rPr>
        <w:t>, поднаем) имущества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6744">
        <w:rPr>
          <w:rFonts w:ascii="Times New Roman" w:hAnsi="Times New Roman" w:cs="Times New Roman"/>
          <w:sz w:val="26"/>
          <w:szCs w:val="26"/>
        </w:rPr>
        <w:t>учитываются как одна двенадцатая суммы дохода, полученного в течение налогового периода, умноженная на количество месяцев, вошедших в расчетный период.</w:t>
      </w:r>
    </w:p>
    <w:sectPr w:rsidR="00F96744" w:rsidRPr="00F96744">
      <w:footerReference w:type="default" r:id="rId8"/>
      <w:pgSz w:w="11906" w:h="16838"/>
      <w:pgMar w:top="851" w:right="851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C0" w:rsidRDefault="00D400C0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400C0" w:rsidRDefault="00D400C0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CC" w:rsidRDefault="005D38CC">
    <w:pPr>
      <w:pStyle w:val="a8"/>
      <w:framePr w:wrap="auto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F0DAE">
      <w:rPr>
        <w:rStyle w:val="aa"/>
        <w:noProof/>
      </w:rPr>
      <w:t>2</w:t>
    </w:r>
    <w:r>
      <w:rPr>
        <w:rStyle w:val="aa"/>
      </w:rPr>
      <w:fldChar w:fldCharType="end"/>
    </w:r>
  </w:p>
  <w:p w:rsidR="005D38CC" w:rsidRDefault="005D38CC">
    <w:pPr>
      <w:pStyle w:val="a8"/>
      <w:framePr w:wrap="auto" w:vAnchor="text" w:hAnchor="margin" w:xAlign="center" w:y="1"/>
      <w:rPr>
        <w:rStyle w:val="aa"/>
      </w:rPr>
    </w:pPr>
  </w:p>
  <w:p w:rsidR="005D38CC" w:rsidRDefault="005D38C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C0" w:rsidRDefault="00D400C0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400C0" w:rsidRDefault="00D400C0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DCC"/>
    <w:multiLevelType w:val="multilevel"/>
    <w:tmpl w:val="9BDE317E"/>
    <w:lvl w:ilvl="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B561C79"/>
    <w:multiLevelType w:val="hybridMultilevel"/>
    <w:tmpl w:val="ADFE90F6"/>
    <w:lvl w:ilvl="0" w:tplc="E3A01764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0F950EE"/>
    <w:multiLevelType w:val="hybridMultilevel"/>
    <w:tmpl w:val="73B44642"/>
    <w:lvl w:ilvl="0" w:tplc="7C1237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70286"/>
    <w:multiLevelType w:val="hybridMultilevel"/>
    <w:tmpl w:val="159EA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74E33"/>
    <w:multiLevelType w:val="hybridMultilevel"/>
    <w:tmpl w:val="A60829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7B341C0"/>
    <w:multiLevelType w:val="hybridMultilevel"/>
    <w:tmpl w:val="4D60DBA0"/>
    <w:lvl w:ilvl="0" w:tplc="FCF4BF5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ACE582C"/>
    <w:multiLevelType w:val="hybridMultilevel"/>
    <w:tmpl w:val="A406F76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8A4272F"/>
    <w:multiLevelType w:val="hybridMultilevel"/>
    <w:tmpl w:val="BEF2FE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77896"/>
    <w:multiLevelType w:val="hybridMultilevel"/>
    <w:tmpl w:val="DFF2DD04"/>
    <w:lvl w:ilvl="0" w:tplc="09C63D8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C7633F8"/>
    <w:multiLevelType w:val="hybridMultilevel"/>
    <w:tmpl w:val="0416FE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CE439AA"/>
    <w:multiLevelType w:val="hybridMultilevel"/>
    <w:tmpl w:val="E6526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2122B7"/>
    <w:multiLevelType w:val="hybridMultilevel"/>
    <w:tmpl w:val="F29876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5D1AC1"/>
    <w:multiLevelType w:val="hybridMultilevel"/>
    <w:tmpl w:val="BEF2FE62"/>
    <w:lvl w:ilvl="0" w:tplc="DEB8BA1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7E73F6"/>
    <w:multiLevelType w:val="multilevel"/>
    <w:tmpl w:val="F29876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78446C"/>
    <w:multiLevelType w:val="hybridMultilevel"/>
    <w:tmpl w:val="3DC29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AB302E"/>
    <w:multiLevelType w:val="hybridMultilevel"/>
    <w:tmpl w:val="446088E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164BEF"/>
    <w:multiLevelType w:val="hybridMultilevel"/>
    <w:tmpl w:val="CACCAF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A364D1"/>
    <w:multiLevelType w:val="hybridMultilevel"/>
    <w:tmpl w:val="34728B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BE1423"/>
    <w:multiLevelType w:val="multilevel"/>
    <w:tmpl w:val="0416FE3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FCC31B8"/>
    <w:multiLevelType w:val="multilevel"/>
    <w:tmpl w:val="34728B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0F0E45"/>
    <w:multiLevelType w:val="hybridMultilevel"/>
    <w:tmpl w:val="3D3C76F4"/>
    <w:lvl w:ilvl="0" w:tplc="09C63D8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12"/>
  </w:num>
  <w:num w:numId="9">
    <w:abstractNumId w:val="9"/>
  </w:num>
  <w:num w:numId="10">
    <w:abstractNumId w:val="17"/>
  </w:num>
  <w:num w:numId="11">
    <w:abstractNumId w:val="10"/>
  </w:num>
  <w:num w:numId="12">
    <w:abstractNumId w:val="16"/>
  </w:num>
  <w:num w:numId="13">
    <w:abstractNumId w:val="14"/>
  </w:num>
  <w:num w:numId="14">
    <w:abstractNumId w:val="19"/>
  </w:num>
  <w:num w:numId="15">
    <w:abstractNumId w:val="3"/>
  </w:num>
  <w:num w:numId="16">
    <w:abstractNumId w:val="13"/>
  </w:num>
  <w:num w:numId="17">
    <w:abstractNumId w:val="20"/>
  </w:num>
  <w:num w:numId="18">
    <w:abstractNumId w:val="18"/>
  </w:num>
  <w:num w:numId="19">
    <w:abstractNumId w:val="8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E1"/>
    <w:rsid w:val="00026B1D"/>
    <w:rsid w:val="00056E63"/>
    <w:rsid w:val="00061B8D"/>
    <w:rsid w:val="0007569B"/>
    <w:rsid w:val="0010767A"/>
    <w:rsid w:val="00121EF2"/>
    <w:rsid w:val="00123249"/>
    <w:rsid w:val="00130463"/>
    <w:rsid w:val="0017749C"/>
    <w:rsid w:val="00177600"/>
    <w:rsid w:val="001C326E"/>
    <w:rsid w:val="001D0576"/>
    <w:rsid w:val="002472E1"/>
    <w:rsid w:val="00256251"/>
    <w:rsid w:val="00267877"/>
    <w:rsid w:val="0032266C"/>
    <w:rsid w:val="00326757"/>
    <w:rsid w:val="003603F4"/>
    <w:rsid w:val="00363E3F"/>
    <w:rsid w:val="00390765"/>
    <w:rsid w:val="00393986"/>
    <w:rsid w:val="003B1B39"/>
    <w:rsid w:val="003B3D35"/>
    <w:rsid w:val="003D0C68"/>
    <w:rsid w:val="003D7176"/>
    <w:rsid w:val="003E4F88"/>
    <w:rsid w:val="00414FB4"/>
    <w:rsid w:val="0043560E"/>
    <w:rsid w:val="0045059B"/>
    <w:rsid w:val="004716BA"/>
    <w:rsid w:val="00474120"/>
    <w:rsid w:val="004D45AD"/>
    <w:rsid w:val="00503644"/>
    <w:rsid w:val="00535E3F"/>
    <w:rsid w:val="005D1273"/>
    <w:rsid w:val="005D38CC"/>
    <w:rsid w:val="005E689B"/>
    <w:rsid w:val="005F0DAE"/>
    <w:rsid w:val="0062396E"/>
    <w:rsid w:val="00695578"/>
    <w:rsid w:val="006A7C93"/>
    <w:rsid w:val="006C1BA0"/>
    <w:rsid w:val="006F4ACC"/>
    <w:rsid w:val="006F5CDD"/>
    <w:rsid w:val="00702337"/>
    <w:rsid w:val="007233DA"/>
    <w:rsid w:val="007C4F59"/>
    <w:rsid w:val="007C5E92"/>
    <w:rsid w:val="007D0A74"/>
    <w:rsid w:val="007D7E5A"/>
    <w:rsid w:val="00857DCC"/>
    <w:rsid w:val="00861227"/>
    <w:rsid w:val="008D5750"/>
    <w:rsid w:val="008D7F7E"/>
    <w:rsid w:val="008F78BB"/>
    <w:rsid w:val="009244FF"/>
    <w:rsid w:val="009B0379"/>
    <w:rsid w:val="009B17D8"/>
    <w:rsid w:val="009D700D"/>
    <w:rsid w:val="009F419F"/>
    <w:rsid w:val="00A03E97"/>
    <w:rsid w:val="00A22DE5"/>
    <w:rsid w:val="00A31618"/>
    <w:rsid w:val="00A50D22"/>
    <w:rsid w:val="00A50F5C"/>
    <w:rsid w:val="00A639FB"/>
    <w:rsid w:val="00A6651A"/>
    <w:rsid w:val="00A8481E"/>
    <w:rsid w:val="00AF729F"/>
    <w:rsid w:val="00B41E4F"/>
    <w:rsid w:val="00B757A7"/>
    <w:rsid w:val="00BB51FB"/>
    <w:rsid w:val="00BC6A96"/>
    <w:rsid w:val="00BF1AFD"/>
    <w:rsid w:val="00CA5C71"/>
    <w:rsid w:val="00CB2308"/>
    <w:rsid w:val="00CB5CD1"/>
    <w:rsid w:val="00CB7428"/>
    <w:rsid w:val="00CE37A1"/>
    <w:rsid w:val="00D400C0"/>
    <w:rsid w:val="00D57ABE"/>
    <w:rsid w:val="00DA0034"/>
    <w:rsid w:val="00E3296C"/>
    <w:rsid w:val="00E3488A"/>
    <w:rsid w:val="00E56A17"/>
    <w:rsid w:val="00E93E65"/>
    <w:rsid w:val="00EA1E8C"/>
    <w:rsid w:val="00F02F4D"/>
    <w:rsid w:val="00F9159A"/>
    <w:rsid w:val="00F96744"/>
    <w:rsid w:val="00FA26BF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center"/>
      <w:outlineLvl w:val="0"/>
    </w:pPr>
    <w:rPr>
      <w:b/>
      <w:bCs/>
      <w:sz w:val="52"/>
      <w:szCs w:val="52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8"/>
      <w:jc w:val="both"/>
      <w:outlineLvl w:val="4"/>
    </w:pPr>
    <w:rPr>
      <w:sz w:val="32"/>
      <w:szCs w:val="32"/>
      <w:u w:val="single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8" w:firstLine="708"/>
      <w:jc w:val="both"/>
      <w:outlineLvl w:val="5"/>
    </w:pPr>
    <w:rPr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ind w:firstLine="72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ind w:left="1404" w:firstLine="720"/>
      <w:outlineLvl w:val="7"/>
    </w:pPr>
    <w:rPr>
      <w:b/>
      <w:bCs/>
      <w:color w:val="000000"/>
      <w:sz w:val="32"/>
      <w:szCs w:val="32"/>
      <w:u w:val="single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pPr>
      <w:widowControl/>
      <w:ind w:firstLine="485"/>
      <w:jc w:val="both"/>
    </w:pPr>
    <w:rPr>
      <w:sz w:val="18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pPr>
      <w:jc w:val="both"/>
    </w:pPr>
    <w:rPr>
      <w:b/>
      <w:bCs/>
      <w:color w:val="000000"/>
      <w:sz w:val="32"/>
      <w:szCs w:val="32"/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3">
    <w:name w:val="Body Text"/>
    <w:basedOn w:val="a"/>
    <w:link w:val="a4"/>
    <w:uiPriority w:val="99"/>
    <w:pPr>
      <w:widowControl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pPr>
      <w:widowControl/>
    </w:pPr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ody Text Indent"/>
    <w:basedOn w:val="a"/>
    <w:link w:val="ac"/>
    <w:uiPriority w:val="9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b/>
      <w:bCs/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f">
    <w:name w:val="Block Text"/>
    <w:basedOn w:val="a"/>
    <w:uiPriority w:val="99"/>
    <w:pPr>
      <w:widowControl/>
      <w:ind w:left="851" w:right="763"/>
      <w:jc w:val="center"/>
    </w:pPr>
    <w:rPr>
      <w:b/>
      <w:bCs/>
      <w:sz w:val="28"/>
      <w:szCs w:val="28"/>
      <w:u w:val="single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Normal (Web)"/>
    <w:basedOn w:val="a"/>
    <w:uiPriority w:val="99"/>
    <w:pPr>
      <w:widowControl/>
      <w:autoSpaceDE/>
      <w:autoSpaceDN/>
      <w:spacing w:before="100" w:after="100"/>
    </w:pPr>
    <w:rPr>
      <w:sz w:val="18"/>
      <w:szCs w:val="18"/>
    </w:rPr>
  </w:style>
  <w:style w:type="paragraph" w:customStyle="1" w:styleId="af1">
    <w:name w:val="Адреса"/>
    <w:basedOn w:val="a"/>
    <w:uiPriority w:val="99"/>
    <w:pPr>
      <w:widowControl/>
      <w:tabs>
        <w:tab w:val="center" w:pos="2127"/>
        <w:tab w:val="right" w:pos="9072"/>
      </w:tabs>
      <w:autoSpaceDE/>
      <w:autoSpaceDN/>
    </w:pPr>
    <w:rPr>
      <w:sz w:val="24"/>
      <w:szCs w:val="24"/>
    </w:rPr>
  </w:style>
  <w:style w:type="paragraph" w:customStyle="1" w:styleId="ConsPlusNonformat">
    <w:name w:val="ConsPlusNonformat"/>
    <w:uiPriority w:val="99"/>
    <w:rsid w:val="00326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uiPriority w:val="99"/>
    <w:rsid w:val="006C1BA0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center"/>
      <w:outlineLvl w:val="0"/>
    </w:pPr>
    <w:rPr>
      <w:b/>
      <w:bCs/>
      <w:sz w:val="52"/>
      <w:szCs w:val="52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8"/>
      <w:jc w:val="both"/>
      <w:outlineLvl w:val="4"/>
    </w:pPr>
    <w:rPr>
      <w:sz w:val="32"/>
      <w:szCs w:val="32"/>
      <w:u w:val="single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8" w:firstLine="708"/>
      <w:jc w:val="both"/>
      <w:outlineLvl w:val="5"/>
    </w:pPr>
    <w:rPr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ind w:firstLine="72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ind w:left="1404" w:firstLine="720"/>
      <w:outlineLvl w:val="7"/>
    </w:pPr>
    <w:rPr>
      <w:b/>
      <w:bCs/>
      <w:color w:val="000000"/>
      <w:sz w:val="32"/>
      <w:szCs w:val="32"/>
      <w:u w:val="single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pPr>
      <w:widowControl/>
      <w:ind w:firstLine="485"/>
      <w:jc w:val="both"/>
    </w:pPr>
    <w:rPr>
      <w:sz w:val="18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pPr>
      <w:jc w:val="both"/>
    </w:pPr>
    <w:rPr>
      <w:b/>
      <w:bCs/>
      <w:color w:val="000000"/>
      <w:sz w:val="32"/>
      <w:szCs w:val="32"/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3">
    <w:name w:val="Body Text"/>
    <w:basedOn w:val="a"/>
    <w:link w:val="a4"/>
    <w:uiPriority w:val="99"/>
    <w:pPr>
      <w:widowControl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pPr>
      <w:widowControl/>
    </w:pPr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ody Text Indent"/>
    <w:basedOn w:val="a"/>
    <w:link w:val="ac"/>
    <w:uiPriority w:val="9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b/>
      <w:bCs/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f">
    <w:name w:val="Block Text"/>
    <w:basedOn w:val="a"/>
    <w:uiPriority w:val="99"/>
    <w:pPr>
      <w:widowControl/>
      <w:ind w:left="851" w:right="763"/>
      <w:jc w:val="center"/>
    </w:pPr>
    <w:rPr>
      <w:b/>
      <w:bCs/>
      <w:sz w:val="28"/>
      <w:szCs w:val="28"/>
      <w:u w:val="single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Normal (Web)"/>
    <w:basedOn w:val="a"/>
    <w:uiPriority w:val="99"/>
    <w:pPr>
      <w:widowControl/>
      <w:autoSpaceDE/>
      <w:autoSpaceDN/>
      <w:spacing w:before="100" w:after="100"/>
    </w:pPr>
    <w:rPr>
      <w:sz w:val="18"/>
      <w:szCs w:val="18"/>
    </w:rPr>
  </w:style>
  <w:style w:type="paragraph" w:customStyle="1" w:styleId="af1">
    <w:name w:val="Адреса"/>
    <w:basedOn w:val="a"/>
    <w:uiPriority w:val="99"/>
    <w:pPr>
      <w:widowControl/>
      <w:tabs>
        <w:tab w:val="center" w:pos="2127"/>
        <w:tab w:val="right" w:pos="9072"/>
      </w:tabs>
      <w:autoSpaceDE/>
      <w:autoSpaceDN/>
    </w:pPr>
    <w:rPr>
      <w:sz w:val="24"/>
      <w:szCs w:val="24"/>
    </w:rPr>
  </w:style>
  <w:style w:type="paragraph" w:customStyle="1" w:styleId="ConsPlusNonformat">
    <w:name w:val="ConsPlusNonformat"/>
    <w:uiPriority w:val="99"/>
    <w:rsid w:val="00326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uiPriority w:val="99"/>
    <w:rsid w:val="006C1BA0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О ПОРЯДКЕ ПРЕДОСТАВЛЕНИЯ СУБСИДИЙ НА ОПЛАТУ ЖИЛОГО ПОМЕЩЕНИЯ И КОММУНАЛЬНЫХ УСЛУГ</vt:lpstr>
    </vt:vector>
  </TitlesOfParts>
  <Company>УСЗН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О ПОРЯДКЕ ПРЕДОСТАВЛЕНИЯ СУБСИДИЙ НА ОПЛАТУ ЖИЛОГО ПОМЕЩЕНИЯ И КОММУНАЛЬНЫХ УСЛУГ</dc:title>
  <dc:creator>User20</dc:creator>
  <cp:lastModifiedBy>yalunina</cp:lastModifiedBy>
  <cp:revision>3</cp:revision>
  <cp:lastPrinted>2006-05-26T06:03:00Z</cp:lastPrinted>
  <dcterms:created xsi:type="dcterms:W3CDTF">2025-07-18T04:56:00Z</dcterms:created>
  <dcterms:modified xsi:type="dcterms:W3CDTF">2025-07-18T04:57:00Z</dcterms:modified>
</cp:coreProperties>
</file>